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color w:val="000000"/>
          <w:spacing w:val="-4"/>
          <w:kern w:val="0"/>
          <w:sz w:val="21"/>
          <w:szCs w:val="21"/>
          <w:lang w:val="en-US" w:eastAsia="zh-CN" w:bidi="ar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baseline"/>
        <w:rPr>
          <w:rFonts w:hint="default" w:ascii="Times New Roman" w:hAnsi="Times New Roman" w:cs="Times New Roman"/>
          <w:spacing w:val="-4"/>
          <w:lang w:val="en-US" w:eastAsia="zh-CN"/>
        </w:rPr>
      </w:pP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0" w:firstLineChars="0"/>
        <w:textAlignment w:val="baseline"/>
        <w:rPr>
          <w:rFonts w:hint="default" w:ascii="Times New Roman" w:hAnsi="Times New Roman" w:cs="Times New Roman"/>
          <w:spacing w:val="-4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lang w:eastAsia="zh-CN"/>
        </w:rPr>
        <w:t>大英县商</w:t>
      </w: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highlight w:val="none"/>
          <w:lang w:eastAsia="zh-CN"/>
        </w:rPr>
        <w:t>务和经</w:t>
      </w: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lang w:eastAsia="zh-CN"/>
        </w:rPr>
        <w:t>济合作局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 w:firstLine="0"/>
        <w:jc w:val="center"/>
        <w:textAlignment w:val="auto"/>
        <w:rPr>
          <w:rFonts w:hint="default" w:ascii="Times New Roman" w:hAnsi="Times New Roman" w:eastAsia="方正小标宋简体" w:cs="Times New Roman"/>
          <w:spacing w:val="-4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pacing w:val="-4"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简体"/>
          <w:spacing w:val="-4"/>
          <w:sz w:val="44"/>
          <w:szCs w:val="44"/>
          <w:lang w:val="en-US" w:eastAsia="zh-CN"/>
        </w:rPr>
        <w:t>项目支出绩效自评</w:t>
      </w:r>
      <w:r>
        <w:rPr>
          <w:rFonts w:hint="eastAsia" w:ascii="Times New Roman" w:hAnsi="Times New Roman" w:eastAsia="方正小标宋简体" w:cs="方正小标宋简体"/>
          <w:spacing w:val="-4"/>
          <w:sz w:val="44"/>
          <w:szCs w:val="44"/>
          <w:lang w:val="en-US" w:eastAsia="zh-CN"/>
        </w:rPr>
        <w:t>报</w:t>
      </w:r>
      <w:r>
        <w:rPr>
          <w:rFonts w:hint="default" w:ascii="Times New Roman" w:hAnsi="Times New Roman" w:eastAsia="方正小标宋简体" w:cs="Times New Roman"/>
          <w:spacing w:val="-4"/>
          <w:sz w:val="44"/>
          <w:szCs w:val="44"/>
          <w:lang w:val="en-US" w:eastAsia="zh-CN"/>
        </w:rPr>
        <w:t>告</w:t>
      </w:r>
    </w:p>
    <w:p>
      <w:pPr>
        <w:keepNext w:val="0"/>
        <w:keepLines w:val="0"/>
        <w:pageBreakBefore w:val="0"/>
        <w:widowControl w:val="0"/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bCs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</w:rPr>
        <w:t>（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2023年促消费活动项目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="0" w:leftChars="0" w:right="0" w:rightChars="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-4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Chars="0" w:firstLine="624" w:firstLineChars="200"/>
        <w:jc w:val="left"/>
        <w:textAlignment w:val="auto"/>
        <w:outlineLvl w:val="9"/>
        <w:rPr>
          <w:rFonts w:hint="eastAsia" w:ascii="Times New Roman" w:hAnsi="Times New Roman" w:eastAsia="黑体"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pacing w:val="-4"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/>
          <w:spacing w:val="-4"/>
          <w:sz w:val="32"/>
          <w:szCs w:val="32"/>
          <w:lang w:eastAsia="zh-CN"/>
        </w:rPr>
        <w:t>基本情况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50" w:lineRule="exact"/>
        <w:ind w:left="0" w:leftChars="0" w:firstLine="627" w:firstLineChars="200"/>
        <w:jc w:val="left"/>
        <w:rPr>
          <w:rFonts w:hint="default" w:ascii="Times New Roman" w:hAnsi="Times New Roman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项目概况：</w:t>
      </w:r>
      <w:r>
        <w:rPr>
          <w:rFonts w:hint="eastAsia" w:ascii="Times New Roman" w:hAnsi="Times New Roman" w:eastAsia="仿宋_GB2312" w:cs="仿宋_GB2312"/>
          <w:color w:val="auto"/>
          <w:spacing w:val="-4"/>
          <w:sz w:val="32"/>
          <w:szCs w:val="32"/>
          <w:lang w:eastAsia="zh-CN"/>
        </w:rPr>
        <w:t>为认真落实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《大英县2023年“蜀里安逸·悦享大英”促消费工作方案》文件要求，</w:t>
      </w:r>
      <w:r>
        <w:rPr>
          <w:rFonts w:hint="eastAsia" w:ascii="Times New Roman" w:hAnsi="Times New Roman" w:eastAsia="仿宋_GB2312" w:cs="仿宋_GB2312"/>
          <w:color w:val="auto"/>
          <w:spacing w:val="-4"/>
          <w:sz w:val="32"/>
          <w:szCs w:val="32"/>
          <w:highlight w:val="none"/>
          <w:u w:val="none"/>
          <w:lang w:val="en-US" w:eastAsia="zh-CN"/>
        </w:rPr>
        <w:t>开展促消费活动，预算投入资金40万，用于桃花美食节、啤酒龙虾节、美食擂台赛等展会活动的实施。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50" w:lineRule="exact"/>
        <w:ind w:left="0" w:leftChars="0" w:firstLine="627" w:firstLineChars="200"/>
        <w:jc w:val="left"/>
        <w:rPr>
          <w:rFonts w:hint="default" w:ascii="Times New Roman" w:hAnsi="Times New Roman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（二）项目实施情况：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根据市县统筹安排部署，制定各促消费活动具体实施方案和资金管理制度，推进项目顺利实施。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50" w:lineRule="exact"/>
        <w:ind w:left="0" w:leftChars="0" w:firstLine="627" w:firstLineChars="200"/>
        <w:jc w:val="left"/>
        <w:rPr>
          <w:rFonts w:hint="default" w:ascii="Times New Roman" w:hAnsi="Times New Roman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资金投入使用情况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2023年促消费活动资金预算40万，实际下达38.97628万元，年内使用36.777708万元，项目经费支出合法合规，资金执行率94.4%。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50" w:lineRule="exact"/>
        <w:ind w:left="0" w:leftChars="0" w:firstLine="627" w:firstLineChars="200"/>
        <w:jc w:val="left"/>
        <w:rPr>
          <w:rFonts w:hint="default" w:ascii="Times New Roman" w:hAnsi="Times New Roman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（四）</w:t>
      </w:r>
      <w:r>
        <w:rPr>
          <w:rFonts w:hint="default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项目绩效目标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激发消费市场活力，推广大英特色美食。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Chars="0" w:firstLine="624" w:firstLineChars="200"/>
        <w:textAlignment w:val="auto"/>
        <w:outlineLvl w:val="9"/>
        <w:rPr>
          <w:rFonts w:hint="eastAsia" w:ascii="Times New Roman" w:hAnsi="Times New Roman" w:eastAsia="仿宋_GB2312"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  <w:lang w:eastAsia="zh-CN"/>
        </w:rPr>
        <w:t>二、评价工作开展情况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313" w:firstLineChars="1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（一）评价组织情况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624" w:firstLineChars="200"/>
        <w:jc w:val="distribute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928" w:right="1474" w:bottom="1928" w:left="1587" w:header="851" w:footer="992" w:gutter="0"/>
          <w:pgNumType w:fmt="decimal" w:start="2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本项目评价工作由</w:t>
      </w:r>
      <w:r>
        <w:rPr>
          <w:rFonts w:hint="eastAsia" w:ascii="Times New Roman" w:hAnsi="Times New Roman" w:eastAsia="仿宋_GB2312" w:cs="仿宋_GB2312"/>
          <w:color w:val="000000" w:themeColor="text1"/>
          <w:spacing w:val="-4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流通产业发展股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核实，并结合评价指标，对项目整体实施情况、实施结果、项目资金支出等情况进行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313" w:firstLineChars="1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（二）评价指标体系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624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本次项目支出绩效评价，按照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关于开展2024年度部门、项目、政策支出绩效自评工作的通知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》（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大财发〔2024〕87号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中的202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年县级项目支出绩效评价指标体系进行。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313" w:firstLineChars="1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（三）评价方法及标准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624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通过对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被实施单位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口头调研、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现场核查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等方式，对资金使用进行评价。本次绩效评价采用百分制，各级指标依据其指标权重确定分值，最终得分由各级评价指标得分加总形成。根据最终得分将评价标准分为四个等级:优(得分≥90分);良(80分s得分&lt;90分);中(60≤得分&lt;80分);差(得分&lt;60分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Chars="0" w:firstLine="624" w:firstLineChars="200"/>
        <w:textAlignment w:val="auto"/>
        <w:outlineLvl w:val="9"/>
        <w:rPr>
          <w:rFonts w:hint="eastAsia" w:ascii="Times New Roman" w:hAnsi="Times New Roman" w:eastAsia="黑体"/>
          <w:spacing w:val="-4"/>
          <w:sz w:val="32"/>
          <w:szCs w:val="32"/>
        </w:rPr>
      </w:pPr>
      <w:r>
        <w:rPr>
          <w:rFonts w:hint="eastAsia" w:ascii="Times New Roman" w:hAnsi="Times New Roman" w:eastAsia="黑体"/>
          <w:spacing w:val="-4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黑体"/>
          <w:spacing w:val="-4"/>
          <w:sz w:val="32"/>
          <w:szCs w:val="32"/>
          <w:lang w:eastAsia="zh-CN"/>
        </w:rPr>
        <w:t>综合</w:t>
      </w:r>
      <w:r>
        <w:rPr>
          <w:rFonts w:hint="eastAsia" w:ascii="Times New Roman" w:hAnsi="Times New Roman" w:eastAsia="黑体"/>
          <w:spacing w:val="-4"/>
          <w:sz w:val="32"/>
          <w:szCs w:val="32"/>
        </w:rPr>
        <w:t>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Chars="0" w:firstLine="624" w:firstLineChars="200"/>
        <w:textAlignment w:val="auto"/>
        <w:outlineLvl w:val="9"/>
        <w:rPr>
          <w:rFonts w:hint="eastAsia" w:ascii="Times New Roman" w:hAnsi="Times New Roman" w:eastAsia="仿宋_GB2312" w:cs="仿宋_GB2312"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商务经合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局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2023年促消费活动项目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在组织实施、项目管理、项目完成情况各方面完成良好，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此次绩效评价结果为“优秀”等次，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较好地完成了项目预定目标。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Chars="0" w:firstLine="624" w:firstLineChars="200"/>
        <w:textAlignment w:val="auto"/>
        <w:outlineLvl w:val="9"/>
        <w:rPr>
          <w:rFonts w:hint="eastAsia" w:ascii="Times New Roman" w:hAnsi="Times New Roman" w:eastAsia="黑体" w:cs="黑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/>
          <w:spacing w:val="-4"/>
          <w:sz w:val="32"/>
          <w:szCs w:val="32"/>
          <w:lang w:eastAsia="zh-CN"/>
        </w:rPr>
        <w:t>四、绩效评价分析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627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（一）项目决策情况。</w:t>
      </w: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本项目均设定了项目绩效目标，对资金配置方面均有明确的测算依据，整体情况良好。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627" w:firstLineChars="200"/>
        <w:textAlignment w:val="auto"/>
        <w:rPr>
          <w:rFonts w:hint="eastAsia" w:ascii="Times New Roman" w:hAnsi="Times New Roman" w:eastAsia="仿宋_GB2312" w:cs="仿宋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（二）项目管理情况。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商务经合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局业务股室，根据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2023年促消费活动方案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具体内容和资金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投入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情况编制具体的绩效目标和具体的会计科目，每使用一笔经费均完善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财务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手续后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支付</w:t>
      </w:r>
      <w:r>
        <w:rPr>
          <w:rFonts w:hint="eastAsia" w:ascii="Times New Roman" w:hAnsi="Times New Roman" w:eastAsia="仿宋_GB2312" w:cs="仿宋_GB2312"/>
          <w:b w:val="0"/>
          <w:bCs w:val="0"/>
          <w:spacing w:val="-4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627" w:firstLineChars="2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（三）项目产出情况。</w:t>
      </w:r>
    </w:p>
    <w:tbl>
      <w:tblPr>
        <w:tblStyle w:val="12"/>
        <w:tblW w:w="893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958"/>
        <w:gridCol w:w="958"/>
        <w:gridCol w:w="2350"/>
        <w:gridCol w:w="1926"/>
        <w:gridCol w:w="22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绩效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三级指标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指标值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包含数字及文字描述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eastAsia="zh-CN"/>
              </w:rPr>
              <w:t>）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项目完成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促消费活动次数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=5场次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完成5场次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促消费活动开展成效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≥98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促消费活动开展及时率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=100%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活动成本资金可控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≤40</w:t>
            </w: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万元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使用36.777708万元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63" w:afterLines="20" w:line="550" w:lineRule="exact"/>
        <w:ind w:leftChars="0" w:firstLine="627" w:firstLineChars="2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（四）项目效益情况。</w:t>
      </w:r>
    </w:p>
    <w:tbl>
      <w:tblPr>
        <w:tblStyle w:val="12"/>
        <w:tblW w:w="89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1021"/>
        <w:gridCol w:w="1755"/>
        <w:gridCol w:w="2655"/>
        <w:gridCol w:w="1695"/>
        <w:gridCol w:w="12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6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绩效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指标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一级指标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二级指标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三级指标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指标值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包含数字及文字描述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eastAsia="zh-CN"/>
              </w:rPr>
              <w:t>）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10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项目效益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可持续发展指标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促进县域经济可持续发展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≥</w:t>
            </w: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9</w:t>
            </w: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完成100</w:t>
            </w: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6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102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满意度指标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消费群体参与满意度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≥</w:t>
            </w: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98</w:t>
            </w: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50" w:lineRule="exact"/>
              <w:ind w:left="0" w:leftChars="0"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完成100</w:t>
            </w: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624" w:firstLineChars="200"/>
        <w:textAlignment w:val="auto"/>
        <w:rPr>
          <w:rFonts w:hint="eastAsia" w:ascii="Times New Roman" w:hAnsi="Times New Roman" w:eastAsia="黑体" w:cs="黑体"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  <w:lang w:eastAsia="zh-CN"/>
        </w:rPr>
        <w:t>五、存在主要问题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624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 w:themeColor="text1"/>
          <w:spacing w:val="-4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该项目财政预拨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38.97628万元，实际支出36.777708万元，结余2.198572万元，实际资金结余率5.64%，影响了财政资金的统筹协调效力。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Chars="0" w:firstLine="624" w:firstLineChars="200"/>
        <w:textAlignment w:val="auto"/>
        <w:outlineLvl w:val="9"/>
        <w:rPr>
          <w:rFonts w:hint="eastAsia" w:ascii="Times New Roman" w:hAnsi="Times New Roman" w:eastAsia="黑体"/>
          <w:spacing w:val="-4"/>
          <w:sz w:val="32"/>
          <w:szCs w:val="32"/>
        </w:rPr>
      </w:pPr>
      <w:r>
        <w:rPr>
          <w:rFonts w:hint="eastAsia" w:ascii="Times New Roman" w:hAnsi="Times New Roman" w:eastAsia="黑体"/>
          <w:spacing w:val="-4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黑体"/>
          <w:spacing w:val="-4"/>
          <w:sz w:val="32"/>
          <w:szCs w:val="32"/>
        </w:rPr>
        <w:t>、相关措施建议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50" w:lineRule="exact"/>
        <w:ind w:leftChars="0" w:firstLine="624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eastAsia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大英县商务和经济合作局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90" w:lineRule="exact"/>
        <w:ind w:right="0"/>
        <w:jc w:val="right"/>
        <w:rPr>
          <w:rFonts w:hint="default" w:ascii="Times New Roman" w:hAnsi="Times New Roman" w:cs="Times New Roman"/>
          <w:spacing w:val="-4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年</w:t>
      </w:r>
      <w:r>
        <w:rPr>
          <w:rFonts w:hint="eastAsia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月</w:t>
      </w:r>
      <w:r>
        <w:rPr>
          <w:rFonts w:hint="eastAsia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日        </w:t>
      </w:r>
    </w:p>
    <w:sectPr>
      <w:footerReference r:id="rId3" w:type="default"/>
      <w:pgSz w:w="11906" w:h="16838"/>
      <w:pgMar w:top="1928" w:right="1474" w:bottom="1928" w:left="1587" w:header="851" w:footer="992" w:gutter="0"/>
      <w:pgNumType w:fmt="decimal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-351790</wp:posOffset>
              </wp:positionV>
              <wp:extent cx="942340" cy="44513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2340" cy="445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pageBreakBefore w:val="0"/>
                            <w:widowControl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spacing w:line="590" w:lineRule="exact"/>
                            <w:ind w:left="210" w:leftChars="100" w:right="210" w:rightChars="100" w:firstLine="0" w:firstLineChars="0"/>
                            <w:textAlignment w:val="baseline"/>
                            <w:rPr>
                              <w:rFonts w:hint="default" w:eastAsia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7.7pt;height:35.05pt;width:74.2pt;mso-position-horizontal:outside;mso-position-horizontal-relative:margin;z-index:251659264;mso-width-relative:page;mso-height-relative:page;" filled="f" stroked="f" coordsize="21600,21600" o:gfxdata="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+8uttUAAAAHAQAADwAAAAAAAAABACAAAAAiAAAAZHJzL2Rvd25yZXYu&#10;eG1sUEsBAhQAFAAAAAgAh07iQJDIQwk3AgAAYQQAAA4AAAAAAAAAAQAgAAAAJ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8"/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spacing w:line="590" w:lineRule="exact"/>
                      <w:ind w:left="210" w:leftChars="100" w:right="210" w:rightChars="100" w:firstLine="0" w:firstLineChars="0"/>
                      <w:textAlignment w:val="baseline"/>
                      <w:rPr>
                        <w:rFonts w:hint="default" w:eastAsia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jYmFlYzg3MjgwODU1OWNhYWQyNDBiOWEwZjUwZTgifQ=="/>
  </w:docVars>
  <w:rsids>
    <w:rsidRoot w:val="00000000"/>
    <w:rsid w:val="00AA3CEC"/>
    <w:rsid w:val="01145609"/>
    <w:rsid w:val="01193968"/>
    <w:rsid w:val="01DF6163"/>
    <w:rsid w:val="02A66735"/>
    <w:rsid w:val="031A67DB"/>
    <w:rsid w:val="04BC470B"/>
    <w:rsid w:val="04BD4777"/>
    <w:rsid w:val="051C166B"/>
    <w:rsid w:val="05485881"/>
    <w:rsid w:val="055E32F7"/>
    <w:rsid w:val="07D77390"/>
    <w:rsid w:val="096536DF"/>
    <w:rsid w:val="097B59CD"/>
    <w:rsid w:val="0ABD0AEE"/>
    <w:rsid w:val="0AE20526"/>
    <w:rsid w:val="0B974D33"/>
    <w:rsid w:val="0BCE2CA4"/>
    <w:rsid w:val="0DEC10D3"/>
    <w:rsid w:val="0E0D1416"/>
    <w:rsid w:val="0F15307B"/>
    <w:rsid w:val="100B7BD7"/>
    <w:rsid w:val="103F3D25"/>
    <w:rsid w:val="110F6424"/>
    <w:rsid w:val="11875DAA"/>
    <w:rsid w:val="11F8447C"/>
    <w:rsid w:val="12A8795F"/>
    <w:rsid w:val="12F504CF"/>
    <w:rsid w:val="15510782"/>
    <w:rsid w:val="15D82EC7"/>
    <w:rsid w:val="17143815"/>
    <w:rsid w:val="17471E3D"/>
    <w:rsid w:val="174A7237"/>
    <w:rsid w:val="19037FE5"/>
    <w:rsid w:val="19131119"/>
    <w:rsid w:val="193006AE"/>
    <w:rsid w:val="19616ABA"/>
    <w:rsid w:val="1AE33D18"/>
    <w:rsid w:val="1C095F04"/>
    <w:rsid w:val="1C4032FE"/>
    <w:rsid w:val="1D41732E"/>
    <w:rsid w:val="1D9E78F3"/>
    <w:rsid w:val="1EA21E17"/>
    <w:rsid w:val="1EB54D87"/>
    <w:rsid w:val="1EC458CD"/>
    <w:rsid w:val="1EF06916"/>
    <w:rsid w:val="207B0778"/>
    <w:rsid w:val="207B3599"/>
    <w:rsid w:val="21EB1616"/>
    <w:rsid w:val="236A005D"/>
    <w:rsid w:val="24A361D8"/>
    <w:rsid w:val="252C0F6A"/>
    <w:rsid w:val="25BA1A2C"/>
    <w:rsid w:val="2672725A"/>
    <w:rsid w:val="26AD4B6D"/>
    <w:rsid w:val="27651E6B"/>
    <w:rsid w:val="29431E0C"/>
    <w:rsid w:val="2BBC53B4"/>
    <w:rsid w:val="2C5D5807"/>
    <w:rsid w:val="2D12214D"/>
    <w:rsid w:val="2D834DF9"/>
    <w:rsid w:val="2D9D235F"/>
    <w:rsid w:val="2E29215B"/>
    <w:rsid w:val="2E7208DD"/>
    <w:rsid w:val="2F320885"/>
    <w:rsid w:val="2FE30343"/>
    <w:rsid w:val="30C24D10"/>
    <w:rsid w:val="312E32CE"/>
    <w:rsid w:val="31BC65A2"/>
    <w:rsid w:val="320C5FEA"/>
    <w:rsid w:val="32211AEF"/>
    <w:rsid w:val="32CE6D0B"/>
    <w:rsid w:val="335F00B6"/>
    <w:rsid w:val="33EF143A"/>
    <w:rsid w:val="3464257F"/>
    <w:rsid w:val="347E456C"/>
    <w:rsid w:val="348257DA"/>
    <w:rsid w:val="348477E9"/>
    <w:rsid w:val="355F7EFA"/>
    <w:rsid w:val="36BB1BF3"/>
    <w:rsid w:val="38455ACD"/>
    <w:rsid w:val="39382F3B"/>
    <w:rsid w:val="39767E7C"/>
    <w:rsid w:val="3A345DF9"/>
    <w:rsid w:val="3A405292"/>
    <w:rsid w:val="3A64017E"/>
    <w:rsid w:val="3B31058A"/>
    <w:rsid w:val="3C257287"/>
    <w:rsid w:val="3C850EBF"/>
    <w:rsid w:val="3CB66F99"/>
    <w:rsid w:val="3DA908AC"/>
    <w:rsid w:val="3DE713D4"/>
    <w:rsid w:val="3E3143FD"/>
    <w:rsid w:val="3E391C30"/>
    <w:rsid w:val="4005796A"/>
    <w:rsid w:val="40262D2C"/>
    <w:rsid w:val="40E15AB2"/>
    <w:rsid w:val="4290203A"/>
    <w:rsid w:val="42AF6323"/>
    <w:rsid w:val="42E12896"/>
    <w:rsid w:val="45066278"/>
    <w:rsid w:val="455A490C"/>
    <w:rsid w:val="45823519"/>
    <w:rsid w:val="45B918A8"/>
    <w:rsid w:val="45F1078A"/>
    <w:rsid w:val="46CE7C01"/>
    <w:rsid w:val="480037BE"/>
    <w:rsid w:val="495C2806"/>
    <w:rsid w:val="498A7E02"/>
    <w:rsid w:val="4A6022F2"/>
    <w:rsid w:val="4AC733C6"/>
    <w:rsid w:val="4AE66C9B"/>
    <w:rsid w:val="4BED60EF"/>
    <w:rsid w:val="4C835767"/>
    <w:rsid w:val="4D152177"/>
    <w:rsid w:val="4E8D742E"/>
    <w:rsid w:val="4E9B4950"/>
    <w:rsid w:val="4F8D65A8"/>
    <w:rsid w:val="5054659D"/>
    <w:rsid w:val="51295B34"/>
    <w:rsid w:val="514C537E"/>
    <w:rsid w:val="52C553E8"/>
    <w:rsid w:val="53A75290"/>
    <w:rsid w:val="53DF24DA"/>
    <w:rsid w:val="54204120"/>
    <w:rsid w:val="55EB785C"/>
    <w:rsid w:val="56081147"/>
    <w:rsid w:val="56D13385"/>
    <w:rsid w:val="57362D58"/>
    <w:rsid w:val="57494FF9"/>
    <w:rsid w:val="575651A9"/>
    <w:rsid w:val="59280E6F"/>
    <w:rsid w:val="599E6336"/>
    <w:rsid w:val="5A960A17"/>
    <w:rsid w:val="5ABB5323"/>
    <w:rsid w:val="5AF3622C"/>
    <w:rsid w:val="5B331489"/>
    <w:rsid w:val="5D066D29"/>
    <w:rsid w:val="5D756040"/>
    <w:rsid w:val="5EF05EE3"/>
    <w:rsid w:val="5F12261D"/>
    <w:rsid w:val="5F441D8B"/>
    <w:rsid w:val="5F4B4EC7"/>
    <w:rsid w:val="5FC86518"/>
    <w:rsid w:val="60100FF8"/>
    <w:rsid w:val="601B6F8F"/>
    <w:rsid w:val="60C413D5"/>
    <w:rsid w:val="60E5134B"/>
    <w:rsid w:val="619A2136"/>
    <w:rsid w:val="61BE30C3"/>
    <w:rsid w:val="61D45648"/>
    <w:rsid w:val="62943029"/>
    <w:rsid w:val="63DA0F0F"/>
    <w:rsid w:val="63FD075A"/>
    <w:rsid w:val="6470717E"/>
    <w:rsid w:val="64B045D6"/>
    <w:rsid w:val="66786720"/>
    <w:rsid w:val="67CC2C65"/>
    <w:rsid w:val="699B6D7C"/>
    <w:rsid w:val="69D97992"/>
    <w:rsid w:val="69EC7BB7"/>
    <w:rsid w:val="6A8B2F63"/>
    <w:rsid w:val="6B8005EE"/>
    <w:rsid w:val="6B800DA2"/>
    <w:rsid w:val="6C1402F2"/>
    <w:rsid w:val="6C1A00FB"/>
    <w:rsid w:val="6CEB0F53"/>
    <w:rsid w:val="6E5B49FB"/>
    <w:rsid w:val="6F6E5ACD"/>
    <w:rsid w:val="6FB27894"/>
    <w:rsid w:val="6FDD600F"/>
    <w:rsid w:val="71010E89"/>
    <w:rsid w:val="72007CAB"/>
    <w:rsid w:val="72347A3D"/>
    <w:rsid w:val="728A58AF"/>
    <w:rsid w:val="72B621DC"/>
    <w:rsid w:val="73ED07EB"/>
    <w:rsid w:val="75267B11"/>
    <w:rsid w:val="758B4081"/>
    <w:rsid w:val="77FE2FC7"/>
    <w:rsid w:val="78620F50"/>
    <w:rsid w:val="787E17C8"/>
    <w:rsid w:val="7B762E74"/>
    <w:rsid w:val="7BEC6BEE"/>
    <w:rsid w:val="7C0C5586"/>
    <w:rsid w:val="7E4E183B"/>
    <w:rsid w:val="7F385010"/>
    <w:rsid w:val="7F391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0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footer1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Body Text Indent 2"/>
    <w:basedOn w:val="1"/>
    <w:next w:val="1"/>
    <w:qFormat/>
    <w:uiPriority w:val="0"/>
    <w:pPr>
      <w:spacing w:after="120" w:line="480" w:lineRule="auto"/>
      <w:ind w:left="200" w:leftChars="200"/>
    </w:pPr>
    <w:rPr>
      <w:rFonts w:ascii="Calibri" w:hAnsi="Calibri" w:eastAsia="宋体" w:cs="宋体"/>
      <w:sz w:val="21"/>
      <w:szCs w:val="22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5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4">
    <w:name w:val="常用样式（方正仿宋简）"/>
    <w:basedOn w:val="1"/>
    <w:next w:val="1"/>
    <w:autoRedefine/>
    <w:qFormat/>
    <w:uiPriority w:val="0"/>
    <w:pPr>
      <w:spacing w:line="560" w:lineRule="exact"/>
      <w:ind w:firstLine="640" w:firstLineChars="200"/>
    </w:pPr>
    <w:rPr>
      <w:rFonts w:eastAsia="方正仿宋简体"/>
      <w:sz w:val="32"/>
      <w:szCs w:val="21"/>
    </w:r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  <w:style w:type="paragraph" w:customStyle="1" w:styleId="16">
    <w:name w:val="章标题"/>
    <w:basedOn w:val="1"/>
    <w:next w:val="1"/>
    <w:autoRedefine/>
    <w:qFormat/>
    <w:uiPriority w:val="99"/>
    <w:pPr>
      <w:spacing w:before="158" w:after="153" w:line="323" w:lineRule="atLeast"/>
      <w:ind w:right="-120"/>
      <w:jc w:val="center"/>
      <w:textAlignment w:val="baseline"/>
    </w:pPr>
    <w:rPr>
      <w:color w:val="FF0000"/>
      <w:sz w:val="18"/>
    </w:rPr>
  </w:style>
  <w:style w:type="paragraph" w:customStyle="1" w:styleId="17">
    <w:name w:val="节标题"/>
    <w:basedOn w:val="1"/>
    <w:next w:val="1"/>
    <w:autoRedefine/>
    <w:qFormat/>
    <w:uiPriority w:val="99"/>
    <w:pPr>
      <w:spacing w:line="289" w:lineRule="atLeast"/>
      <w:jc w:val="center"/>
      <w:textAlignment w:val="baseline"/>
    </w:pPr>
    <w:rPr>
      <w:color w:val="000000"/>
      <w:sz w:val="28"/>
    </w:rPr>
  </w:style>
  <w:style w:type="paragraph" w:customStyle="1" w:styleId="18">
    <w:name w:val="UserStyle_0"/>
    <w:basedOn w:val="19"/>
    <w:autoRedefine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宋体" w:hAnsi="宋体" w:eastAsia="宋体"/>
      <w:kern w:val="2"/>
      <w:sz w:val="21"/>
      <w:szCs w:val="24"/>
      <w:lang w:val="en-US" w:eastAsia="zh-CN" w:bidi="ar-SA"/>
    </w:rPr>
  </w:style>
  <w:style w:type="paragraph" w:customStyle="1" w:styleId="19">
    <w:name w:val="UserStyle_1"/>
    <w:basedOn w:val="1"/>
    <w:autoRedefine/>
    <w:qFormat/>
    <w:uiPriority w:val="0"/>
    <w:pPr>
      <w:spacing w:line="240" w:lineRule="auto"/>
      <w:ind w:firstLine="600" w:firstLineChars="200"/>
      <w:jc w:val="both"/>
      <w:textAlignment w:val="baseline"/>
    </w:pPr>
    <w:rPr>
      <w:rFonts w:ascii="宋体" w:hAnsi="宋体" w:eastAsia="仿宋_GB2312"/>
      <w:kern w:val="2"/>
      <w:sz w:val="30"/>
      <w:szCs w:val="24"/>
      <w:lang w:val="en-US" w:eastAsia="zh-CN" w:bidi="ar-SA"/>
    </w:rPr>
  </w:style>
  <w:style w:type="character" w:customStyle="1" w:styleId="20">
    <w:name w:val="NormalCharacter"/>
    <w:link w:val="1"/>
    <w:autoRedefine/>
    <w:semiHidden/>
    <w:qFormat/>
    <w:uiPriority w:val="0"/>
  </w:style>
  <w:style w:type="table" w:customStyle="1" w:styleId="21">
    <w:name w:val="TableNormal"/>
    <w:autoRedefine/>
    <w:semiHidden/>
    <w:qFormat/>
    <w:uiPriority w:val="0"/>
  </w:style>
  <w:style w:type="paragraph" w:customStyle="1" w:styleId="22">
    <w:name w:val="UserStyle_2"/>
    <w:basedOn w:val="1"/>
    <w:next w:val="1"/>
    <w:autoRedefine/>
    <w:qFormat/>
    <w:uiPriority w:val="0"/>
    <w:pPr>
      <w:spacing w:line="560" w:lineRule="exact"/>
      <w:ind w:firstLine="640" w:firstLineChars="200"/>
      <w:jc w:val="both"/>
      <w:textAlignment w:val="baseline"/>
    </w:pPr>
    <w:rPr>
      <w:rFonts w:ascii="Times New Roman" w:hAnsi="Times New Roman" w:eastAsia="方正仿宋简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1072</Words>
  <Characters>1194</Characters>
  <Lines>0</Lines>
  <Paragraphs>0</Paragraphs>
  <TotalTime>2</TotalTime>
  <ScaleCrop>false</ScaleCrop>
  <LinksUpToDate>false</LinksUpToDate>
  <CharactersWithSpaces>1206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2020-05-14T06:18:00Z</dcterms:created>
  <dc:creator>Administrator</dc:creator>
  <cp:lastModifiedBy>zhulingxi3</cp:lastModifiedBy>
  <cp:lastPrinted>2024-04-08T13:35:00Z</cp:lastPrinted>
  <dcterms:modified xsi:type="dcterms:W3CDTF">2024-05-06T07:28:33Z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0DFFA4D2F76048A988E12517CECD47E0_13</vt:lpwstr>
  </property>
</Properties>
</file>